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2F58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005F0F" w14:textId="781D6A89" w:rsidR="00717D40" w:rsidRDefault="006A1190" w:rsidP="009915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4667D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9915A5" w:rsidRPr="00EE396D">
        <w:rPr>
          <w:rFonts w:ascii="Times New Roman" w:hAnsi="Times New Roman"/>
          <w:sz w:val="28"/>
          <w:szCs w:val="28"/>
        </w:rPr>
        <w:t>«</w:t>
      </w:r>
      <w:r w:rsidR="009915A5" w:rsidRPr="00197214">
        <w:rPr>
          <w:rFonts w:ascii="Times New Roman" w:hAnsi="Times New Roman"/>
          <w:sz w:val="28"/>
          <w:szCs w:val="28"/>
        </w:rPr>
        <w:t>О</w:t>
      </w:r>
      <w:r w:rsidR="009915A5">
        <w:rPr>
          <w:rFonts w:ascii="Times New Roman" w:hAnsi="Times New Roman"/>
          <w:sz w:val="28"/>
          <w:szCs w:val="28"/>
        </w:rPr>
        <w:t>б</w:t>
      </w:r>
      <w:r w:rsidR="009915A5" w:rsidRPr="00197214">
        <w:rPr>
          <w:rFonts w:ascii="Times New Roman" w:hAnsi="Times New Roman"/>
          <w:sz w:val="28"/>
          <w:szCs w:val="28"/>
        </w:rPr>
        <w:t xml:space="preserve"> утверждении базовой ставки арендной платы за нежилые помещения муниципальн</w:t>
      </w:r>
      <w:r w:rsidR="009915A5">
        <w:rPr>
          <w:rFonts w:ascii="Times New Roman" w:hAnsi="Times New Roman"/>
          <w:sz w:val="28"/>
          <w:szCs w:val="28"/>
        </w:rPr>
        <w:t xml:space="preserve">ой собственности </w:t>
      </w:r>
      <w:r w:rsidR="009915A5" w:rsidRPr="00197214">
        <w:rPr>
          <w:rFonts w:ascii="Times New Roman" w:hAnsi="Times New Roman"/>
          <w:sz w:val="28"/>
          <w:szCs w:val="28"/>
        </w:rPr>
        <w:t>на 202</w:t>
      </w:r>
      <w:r w:rsidR="009915A5">
        <w:rPr>
          <w:rFonts w:ascii="Times New Roman" w:hAnsi="Times New Roman"/>
          <w:sz w:val="28"/>
          <w:szCs w:val="28"/>
        </w:rPr>
        <w:t>4</w:t>
      </w:r>
      <w:r w:rsidR="009915A5" w:rsidRPr="00197214">
        <w:rPr>
          <w:rFonts w:ascii="Times New Roman" w:hAnsi="Times New Roman"/>
          <w:sz w:val="28"/>
          <w:szCs w:val="28"/>
        </w:rPr>
        <w:t xml:space="preserve"> год</w:t>
      </w:r>
      <w:r w:rsidR="009915A5" w:rsidRPr="00EE396D">
        <w:rPr>
          <w:rFonts w:ascii="Times New Roman" w:hAnsi="Times New Roman"/>
          <w:sz w:val="28"/>
          <w:szCs w:val="28"/>
        </w:rPr>
        <w:t>»</w:t>
      </w:r>
    </w:p>
    <w:p w14:paraId="1518206C" w14:textId="77777777" w:rsidR="009915A5" w:rsidRPr="009915A5" w:rsidRDefault="009915A5" w:rsidP="009915A5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133EEEE9" w14:textId="64D06D6F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007C41">
        <w:rPr>
          <w:rFonts w:ascii="Times New Roman" w:hAnsi="Times New Roman"/>
          <w:color w:val="000000"/>
          <w:sz w:val="28"/>
          <w:szCs w:val="24"/>
        </w:rPr>
        <w:t>1</w:t>
      </w:r>
      <w:r w:rsidR="009915A5">
        <w:rPr>
          <w:rFonts w:ascii="Times New Roman" w:hAnsi="Times New Roman"/>
          <w:color w:val="000000"/>
          <w:sz w:val="28"/>
          <w:szCs w:val="24"/>
        </w:rPr>
        <w:t>9</w:t>
      </w:r>
      <w:r w:rsidR="00437762">
        <w:rPr>
          <w:rFonts w:ascii="Times New Roman" w:hAnsi="Times New Roman"/>
          <w:color w:val="000000"/>
          <w:sz w:val="28"/>
          <w:szCs w:val="24"/>
        </w:rPr>
        <w:t>.</w:t>
      </w:r>
      <w:r w:rsidR="009915A5">
        <w:rPr>
          <w:rFonts w:ascii="Times New Roman" w:hAnsi="Times New Roman"/>
          <w:color w:val="000000"/>
          <w:sz w:val="28"/>
          <w:szCs w:val="24"/>
        </w:rPr>
        <w:t>1</w:t>
      </w:r>
      <w:r w:rsidR="00437762">
        <w:rPr>
          <w:rFonts w:ascii="Times New Roman" w:hAnsi="Times New Roman"/>
          <w:color w:val="000000"/>
          <w:sz w:val="28"/>
          <w:szCs w:val="24"/>
        </w:rPr>
        <w:t>0.2023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9915A5">
        <w:rPr>
          <w:rFonts w:ascii="Times New Roman" w:hAnsi="Times New Roman"/>
          <w:color w:val="000000"/>
          <w:sz w:val="28"/>
          <w:szCs w:val="24"/>
        </w:rPr>
        <w:t>99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024E94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67D672F" w14:textId="77777777" w:rsidR="00007C41" w:rsidRDefault="00763DF8" w:rsidP="00007C41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48B13" w14:textId="5468E09A" w:rsidR="00007C41" w:rsidRPr="00007C41" w:rsidRDefault="00007C41" w:rsidP="00007C4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7C41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2B77FD98" w14:textId="77777777" w:rsidR="00007C41" w:rsidRPr="00007C41" w:rsidRDefault="00007C41" w:rsidP="0000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изменения доходной части бюджета Златоустовского городского округа.</w:t>
      </w:r>
    </w:p>
    <w:p w14:paraId="6A4BD240" w14:textId="375165F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6240FC6D" w14:textId="46DC9988" w:rsidR="00C11E50" w:rsidRDefault="00C11E50" w:rsidP="00C11E5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6403BE">
        <w:rPr>
          <w:rFonts w:ascii="Times New Roman" w:hAnsi="Times New Roman"/>
          <w:color w:val="000000"/>
          <w:sz w:val="28"/>
          <w:szCs w:val="24"/>
        </w:rPr>
        <w:t xml:space="preserve">Согласно пункту 19 и пункту 21 Положения </w:t>
      </w:r>
      <w:bookmarkStart w:id="0" w:name="_Hlk85627077"/>
      <w:r w:rsidRPr="006403BE">
        <w:rPr>
          <w:rFonts w:ascii="Times New Roman" w:hAnsi="Times New Roman"/>
          <w:color w:val="000000"/>
          <w:sz w:val="28"/>
          <w:szCs w:val="24"/>
        </w:rPr>
        <w:t xml:space="preserve">о передаче в аренду объектов муниципального имущества </w:t>
      </w:r>
      <w:bookmarkEnd w:id="0"/>
      <w:r>
        <w:rPr>
          <w:rFonts w:ascii="Times New Roman" w:hAnsi="Times New Roman"/>
          <w:color w:val="000000"/>
          <w:sz w:val="28"/>
          <w:szCs w:val="24"/>
        </w:rPr>
        <w:t>Златоустовского городского округа</w:t>
      </w:r>
      <w:r>
        <w:rPr>
          <w:rStyle w:val="a8"/>
          <w:rFonts w:ascii="Times New Roman" w:hAnsi="Times New Roman"/>
          <w:color w:val="000000"/>
          <w:sz w:val="28"/>
          <w:szCs w:val="24"/>
        </w:rPr>
        <w:footnoteReference w:id="4"/>
      </w:r>
      <w:r w:rsidRPr="006403BE">
        <w:rPr>
          <w:rFonts w:ascii="Times New Roman" w:hAnsi="Times New Roman"/>
          <w:color w:val="000000"/>
          <w:sz w:val="28"/>
          <w:szCs w:val="24"/>
        </w:rPr>
        <w:t xml:space="preserve">, при расчете размера ежемесячной арендной платы за предоставленные в аренду нежилые помещения, используется месячная базовая ставка арендной платы за один квадратный метр площади объекта, утвержденная Собранием депутатов ЗГО </w:t>
      </w:r>
      <w:r w:rsidR="00CE5430">
        <w:rPr>
          <w:rFonts w:ascii="Times New Roman" w:hAnsi="Times New Roman"/>
          <w:color w:val="000000"/>
          <w:sz w:val="28"/>
          <w:szCs w:val="24"/>
        </w:rPr>
        <w:t xml:space="preserve">                   </w:t>
      </w:r>
      <w:r w:rsidRPr="006403BE">
        <w:rPr>
          <w:rFonts w:ascii="Times New Roman" w:hAnsi="Times New Roman"/>
          <w:color w:val="000000"/>
          <w:sz w:val="28"/>
          <w:szCs w:val="24"/>
        </w:rPr>
        <w:t>на соответствующий календарный год.</w:t>
      </w:r>
    </w:p>
    <w:p w14:paraId="7220BB5C" w14:textId="77777777" w:rsidR="00C11E50" w:rsidRDefault="00C11E50" w:rsidP="00C11E5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B06BC">
        <w:rPr>
          <w:rFonts w:ascii="Times New Roman" w:hAnsi="Times New Roman"/>
          <w:color w:val="000000"/>
          <w:sz w:val="28"/>
          <w:szCs w:val="24"/>
        </w:rPr>
        <w:t>Размер месячной базовой ставки арендной платы и соответствующие коэффициенты, определяющие размер арендной платы за объекты, могут быть изменены в соответствии с действующим законодательством.</w:t>
      </w:r>
    </w:p>
    <w:p w14:paraId="3075035F" w14:textId="579C19D9" w:rsidR="00CE5430" w:rsidRDefault="00CE5430" w:rsidP="00CE543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7B2DA1">
        <w:rPr>
          <w:rFonts w:ascii="Times New Roman" w:hAnsi="Times New Roman"/>
          <w:color w:val="000000"/>
          <w:sz w:val="28"/>
          <w:szCs w:val="28"/>
        </w:rPr>
        <w:t>Плата за аренду объектов муниципальной казны является доходом местного бюджета.</w:t>
      </w:r>
      <w:r w:rsidRPr="007B2DA1">
        <w:rPr>
          <w:rFonts w:ascii="Times New Roman" w:hAnsi="Times New Roman"/>
          <w:sz w:val="28"/>
          <w:szCs w:val="28"/>
        </w:rPr>
        <w:t xml:space="preserve"> Главным администратором доходов </w:t>
      </w:r>
      <w:r>
        <w:rPr>
          <w:rFonts w:ascii="Times New Roman" w:hAnsi="Times New Roman"/>
          <w:sz w:val="28"/>
          <w:szCs w:val="28"/>
        </w:rPr>
        <w:t>является Комитет</w:t>
      </w:r>
      <w:r w:rsidR="00B33776">
        <w:rPr>
          <w:rFonts w:ascii="Times New Roman" w:hAnsi="Times New Roman"/>
          <w:sz w:val="28"/>
          <w:szCs w:val="28"/>
        </w:rPr>
        <w:t xml:space="preserve"> по управлению имуществом ЗГО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5E311E8" w14:textId="3C2CF594" w:rsidR="00CE5430" w:rsidRDefault="00CE5430" w:rsidP="00CE543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93161">
        <w:rPr>
          <w:rFonts w:ascii="Times New Roman" w:hAnsi="Times New Roman"/>
          <w:color w:val="000000"/>
          <w:sz w:val="28"/>
          <w:szCs w:val="24"/>
        </w:rPr>
        <w:t>Проект</w:t>
      </w:r>
      <w:r>
        <w:rPr>
          <w:rFonts w:ascii="Times New Roman" w:hAnsi="Times New Roman"/>
          <w:color w:val="000000"/>
          <w:sz w:val="28"/>
          <w:szCs w:val="24"/>
        </w:rPr>
        <w:t>ом</w:t>
      </w:r>
      <w:r w:rsidRPr="00993161">
        <w:rPr>
          <w:rFonts w:ascii="Times New Roman" w:hAnsi="Times New Roman"/>
          <w:color w:val="000000"/>
          <w:sz w:val="28"/>
          <w:szCs w:val="24"/>
        </w:rPr>
        <w:t xml:space="preserve"> решения </w:t>
      </w:r>
      <w:r w:rsidRPr="002209B0">
        <w:rPr>
          <w:rFonts w:ascii="Times New Roman" w:hAnsi="Times New Roman"/>
          <w:color w:val="000000"/>
          <w:sz w:val="28"/>
          <w:szCs w:val="24"/>
        </w:rPr>
        <w:t>Собрания депутатов</w:t>
      </w:r>
      <w:r w:rsidRPr="00993161">
        <w:rPr>
          <w:rFonts w:ascii="Times New Roman" w:hAnsi="Times New Roman"/>
          <w:color w:val="000000"/>
          <w:sz w:val="28"/>
          <w:szCs w:val="24"/>
        </w:rPr>
        <w:t xml:space="preserve"> ЗГО</w:t>
      </w:r>
      <w:r>
        <w:rPr>
          <w:rFonts w:ascii="Times New Roman" w:hAnsi="Times New Roman"/>
          <w:color w:val="000000"/>
          <w:sz w:val="28"/>
          <w:szCs w:val="24"/>
        </w:rPr>
        <w:t xml:space="preserve"> предусмотрено утверждение </w:t>
      </w:r>
      <w:r w:rsidR="00FF1954">
        <w:rPr>
          <w:rFonts w:ascii="Times New Roman" w:hAnsi="Times New Roman"/>
          <w:color w:val="000000"/>
          <w:sz w:val="28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4"/>
        </w:rPr>
        <w:t>на 202</w:t>
      </w:r>
      <w:r w:rsidR="00FF1954">
        <w:rPr>
          <w:rFonts w:ascii="Times New Roman" w:hAnsi="Times New Roman"/>
          <w:color w:val="000000"/>
          <w:sz w:val="28"/>
          <w:szCs w:val="24"/>
        </w:rPr>
        <w:t>4</w:t>
      </w:r>
      <w:r>
        <w:rPr>
          <w:rFonts w:ascii="Times New Roman" w:hAnsi="Times New Roman"/>
          <w:color w:val="000000"/>
          <w:sz w:val="28"/>
          <w:szCs w:val="24"/>
        </w:rPr>
        <w:t xml:space="preserve"> год базовой ставки арендной платы за 1 кв.м. нежилых помещений муниципальной собственности в размере 475 рублей. </w:t>
      </w:r>
    </w:p>
    <w:p w14:paraId="47421243" w14:textId="77777777" w:rsidR="00FF1954" w:rsidRDefault="00FF1954" w:rsidP="00FF195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Увеличение </w:t>
      </w:r>
      <w:r w:rsidRPr="00593B9E">
        <w:rPr>
          <w:rFonts w:ascii="Times New Roman" w:hAnsi="Times New Roman"/>
          <w:color w:val="000000"/>
          <w:sz w:val="28"/>
          <w:szCs w:val="24"/>
        </w:rPr>
        <w:t>базов</w:t>
      </w:r>
      <w:r>
        <w:rPr>
          <w:rFonts w:ascii="Times New Roman" w:hAnsi="Times New Roman"/>
          <w:color w:val="000000"/>
          <w:sz w:val="28"/>
          <w:szCs w:val="24"/>
        </w:rPr>
        <w:t>ой</w:t>
      </w:r>
      <w:r w:rsidRPr="00593B9E">
        <w:rPr>
          <w:rFonts w:ascii="Times New Roman" w:hAnsi="Times New Roman"/>
          <w:color w:val="000000"/>
          <w:sz w:val="28"/>
          <w:szCs w:val="24"/>
        </w:rPr>
        <w:t xml:space="preserve"> ставк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593B9E">
        <w:rPr>
          <w:rFonts w:ascii="Times New Roman" w:hAnsi="Times New Roman"/>
          <w:color w:val="000000"/>
          <w:sz w:val="28"/>
          <w:szCs w:val="24"/>
        </w:rPr>
        <w:t xml:space="preserve"> арендной платы</w:t>
      </w:r>
      <w:r>
        <w:rPr>
          <w:rFonts w:ascii="Times New Roman" w:hAnsi="Times New Roman"/>
          <w:color w:val="000000"/>
          <w:sz w:val="28"/>
          <w:szCs w:val="24"/>
        </w:rPr>
        <w:t xml:space="preserve"> за нежилые помещения</w:t>
      </w:r>
      <w:r w:rsidRPr="00593B9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составит 32 рубля за 1 кв. м., или 7,2%, что обусловлено применением индекса потребительских цен на 2024 год.</w:t>
      </w:r>
    </w:p>
    <w:p w14:paraId="0BCE723B" w14:textId="271CFB5E" w:rsidR="00FF1954" w:rsidRDefault="00FF1954" w:rsidP="00FF195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Экономический эффект от</w:t>
      </w:r>
      <w:r w:rsidRPr="00A84EEB"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у</w:t>
      </w:r>
      <w:r w:rsidRPr="00A84EEB">
        <w:rPr>
          <w:rFonts w:ascii="Times New Roman" w:hAnsi="Times New Roman"/>
          <w:color w:val="000000"/>
          <w:sz w:val="28"/>
          <w:szCs w:val="24"/>
        </w:rPr>
        <w:t>величени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A84EEB">
        <w:rPr>
          <w:rFonts w:ascii="Times New Roman" w:hAnsi="Times New Roman"/>
          <w:color w:val="000000"/>
          <w:sz w:val="28"/>
          <w:szCs w:val="24"/>
        </w:rPr>
        <w:t xml:space="preserve"> базовой ставки арендной платы за нежилые помещения </w:t>
      </w:r>
      <w:r>
        <w:rPr>
          <w:rFonts w:ascii="Times New Roman" w:hAnsi="Times New Roman"/>
          <w:color w:val="000000"/>
          <w:sz w:val="28"/>
          <w:szCs w:val="24"/>
        </w:rPr>
        <w:t>на</w:t>
      </w:r>
      <w:r w:rsidRPr="00A84EE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7,2% составит 883,0 тыс. </w:t>
      </w:r>
      <w:r w:rsidRPr="00A84EEB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A84EEB">
        <w:rPr>
          <w:rFonts w:ascii="Times New Roman" w:hAnsi="Times New Roman"/>
          <w:color w:val="000000"/>
          <w:sz w:val="28"/>
          <w:szCs w:val="28"/>
        </w:rPr>
        <w:t>позволи</w:t>
      </w:r>
      <w:r w:rsidRPr="00A84EEB">
        <w:rPr>
          <w:rFonts w:ascii="Times New Roman" w:hAnsi="Times New Roman"/>
          <w:color w:val="000000"/>
          <w:sz w:val="28"/>
          <w:szCs w:val="24"/>
        </w:rPr>
        <w:t xml:space="preserve">т </w:t>
      </w:r>
      <w:r>
        <w:rPr>
          <w:rFonts w:ascii="Times New Roman" w:hAnsi="Times New Roman"/>
          <w:color w:val="000000"/>
          <w:sz w:val="28"/>
          <w:szCs w:val="24"/>
        </w:rPr>
        <w:t>увеличить</w:t>
      </w:r>
      <w:r w:rsidRPr="00A84EEB">
        <w:rPr>
          <w:rFonts w:ascii="Times New Roman" w:hAnsi="Times New Roman"/>
          <w:color w:val="000000"/>
          <w:sz w:val="28"/>
          <w:szCs w:val="24"/>
        </w:rPr>
        <w:t xml:space="preserve"> объем неналоговых доходов </w:t>
      </w:r>
      <w:r>
        <w:rPr>
          <w:rFonts w:ascii="Times New Roman" w:hAnsi="Times New Roman"/>
          <w:color w:val="000000"/>
          <w:sz w:val="28"/>
          <w:szCs w:val="24"/>
        </w:rPr>
        <w:t>Златоустовского городского округа в 2024 году</w:t>
      </w:r>
      <w:r w:rsidRPr="00A84EEB">
        <w:rPr>
          <w:rFonts w:ascii="Times New Roman" w:hAnsi="Times New Roman"/>
          <w:color w:val="000000"/>
          <w:sz w:val="28"/>
          <w:szCs w:val="24"/>
        </w:rPr>
        <w:t>.</w:t>
      </w:r>
    </w:p>
    <w:p w14:paraId="0A00FAE8" w14:textId="14F4D401" w:rsidR="00FF1954" w:rsidRDefault="00FF1954" w:rsidP="00FF195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Согласно</w:t>
      </w:r>
      <w:r w:rsidRPr="003C0C38">
        <w:t xml:space="preserve"> </w:t>
      </w:r>
      <w:r w:rsidRPr="003C0C38">
        <w:rPr>
          <w:rFonts w:ascii="Times New Roman" w:hAnsi="Times New Roman"/>
          <w:color w:val="000000"/>
          <w:sz w:val="28"/>
          <w:szCs w:val="24"/>
        </w:rPr>
        <w:t>заключени</w:t>
      </w:r>
      <w:r>
        <w:rPr>
          <w:rFonts w:ascii="Times New Roman" w:hAnsi="Times New Roman"/>
          <w:color w:val="000000"/>
          <w:sz w:val="28"/>
          <w:szCs w:val="24"/>
        </w:rPr>
        <w:t>ю</w:t>
      </w:r>
      <w:r w:rsidRPr="003C0C38">
        <w:rPr>
          <w:rFonts w:ascii="Times New Roman" w:hAnsi="Times New Roman"/>
          <w:color w:val="000000"/>
          <w:sz w:val="28"/>
          <w:szCs w:val="24"/>
        </w:rPr>
        <w:t xml:space="preserve"> Финансового управления ЗГО</w:t>
      </w:r>
      <w:r>
        <w:rPr>
          <w:rFonts w:ascii="Times New Roman" w:hAnsi="Times New Roman"/>
          <w:color w:val="000000"/>
          <w:sz w:val="28"/>
          <w:szCs w:val="24"/>
        </w:rPr>
        <w:t xml:space="preserve"> предлагаемая базовая ставка арендной платы за нежилые помещения после утверждения Собранием депутатов ЗГО будет учтена при формировании проекта бюджета Златоустовского городского округа по доходам на 2024 год и на плановый период 2025 и                      2026 годов.</w:t>
      </w:r>
    </w:p>
    <w:p w14:paraId="56CB1AF7" w14:textId="4EA25CAA" w:rsidR="00F15A08" w:rsidRDefault="00F15A08" w:rsidP="00F15A0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" w:name="_Hlk154581229"/>
      <w:r w:rsidRPr="004825D0"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</w:t>
      </w:r>
      <w:r>
        <w:rPr>
          <w:rFonts w:ascii="Times New Roman" w:hAnsi="Times New Roman"/>
          <w:color w:val="000000"/>
          <w:sz w:val="28"/>
          <w:szCs w:val="24"/>
        </w:rPr>
        <w:t>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рекоменд</w:t>
      </w:r>
      <w:r w:rsidR="00FB1974">
        <w:rPr>
          <w:rFonts w:ascii="Times New Roman" w:hAnsi="Times New Roman"/>
          <w:color w:val="000000"/>
          <w:sz w:val="28"/>
          <w:szCs w:val="24"/>
        </w:rPr>
        <w:t>овала</w:t>
      </w:r>
      <w:r>
        <w:rPr>
          <w:rFonts w:ascii="Times New Roman" w:hAnsi="Times New Roman"/>
          <w:color w:val="000000"/>
          <w:sz w:val="28"/>
          <w:szCs w:val="24"/>
        </w:rPr>
        <w:t xml:space="preserve"> Собранию депутатов ЗГО принять п</w:t>
      </w:r>
      <w:r w:rsidRPr="005F7636">
        <w:rPr>
          <w:rFonts w:ascii="Times New Roman" w:hAnsi="Times New Roman"/>
          <w:color w:val="000000"/>
          <w:sz w:val="28"/>
          <w:szCs w:val="24"/>
        </w:rPr>
        <w:t xml:space="preserve">роект решения </w:t>
      </w:r>
      <w:r w:rsidRPr="002209B0">
        <w:rPr>
          <w:rFonts w:ascii="Times New Roman" w:hAnsi="Times New Roman"/>
          <w:color w:val="000000"/>
          <w:sz w:val="28"/>
          <w:szCs w:val="24"/>
        </w:rPr>
        <w:t>Собрания депутатов</w:t>
      </w:r>
      <w:r w:rsidRPr="005F7636">
        <w:rPr>
          <w:rFonts w:ascii="Times New Roman" w:hAnsi="Times New Roman"/>
          <w:color w:val="000000"/>
          <w:sz w:val="28"/>
          <w:szCs w:val="24"/>
        </w:rPr>
        <w:t xml:space="preserve"> ЗГО</w:t>
      </w:r>
      <w:bookmarkEnd w:id="1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85C22">
        <w:rPr>
          <w:rFonts w:ascii="Times New Roman" w:hAnsi="Times New Roman"/>
          <w:color w:val="000000"/>
          <w:sz w:val="28"/>
          <w:szCs w:val="24"/>
        </w:rPr>
        <w:t>«Об утверждении базовой ставки арендной платы за муниципальные нежилые помещения на 202</w:t>
      </w:r>
      <w:r>
        <w:rPr>
          <w:rFonts w:ascii="Times New Roman" w:hAnsi="Times New Roman"/>
          <w:color w:val="000000"/>
          <w:sz w:val="28"/>
          <w:szCs w:val="24"/>
        </w:rPr>
        <w:t>4</w:t>
      </w:r>
      <w:r w:rsidRPr="00C85C22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C85C22">
        <w:rPr>
          <w:rFonts w:ascii="Times New Roman" w:hAnsi="Times New Roman"/>
          <w:color w:val="000000"/>
          <w:sz w:val="28"/>
          <w:szCs w:val="24"/>
        </w:rPr>
        <w:t>год»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1974">
        <w:rPr>
          <w:rFonts w:ascii="Times New Roman" w:hAnsi="Times New Roman"/>
          <w:color w:val="000000"/>
          <w:sz w:val="28"/>
          <w:szCs w:val="24"/>
        </w:rPr>
        <w:t xml:space="preserve">  </w:t>
      </w:r>
      <w:proofErr w:type="gramEnd"/>
      <w:r w:rsidR="00FB1974">
        <w:rPr>
          <w:rFonts w:ascii="Times New Roman" w:hAnsi="Times New Roman"/>
          <w:color w:val="000000"/>
          <w:sz w:val="28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4"/>
        </w:rPr>
        <w:t>в представленной редакции.</w:t>
      </w:r>
    </w:p>
    <w:p w14:paraId="6C02DBA6" w14:textId="79F3C832" w:rsidR="00C54F88" w:rsidRDefault="00F15A08" w:rsidP="00FF195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Б</w:t>
      </w:r>
      <w:r w:rsidRPr="00197214">
        <w:rPr>
          <w:rFonts w:ascii="Times New Roman" w:hAnsi="Times New Roman"/>
          <w:sz w:val="28"/>
          <w:szCs w:val="28"/>
        </w:rPr>
        <w:t>азов</w:t>
      </w:r>
      <w:r>
        <w:rPr>
          <w:rFonts w:ascii="Times New Roman" w:hAnsi="Times New Roman"/>
          <w:sz w:val="28"/>
          <w:szCs w:val="28"/>
        </w:rPr>
        <w:t>ая</w:t>
      </w:r>
      <w:r w:rsidRPr="00197214">
        <w:rPr>
          <w:rFonts w:ascii="Times New Roman" w:hAnsi="Times New Roman"/>
          <w:sz w:val="28"/>
          <w:szCs w:val="28"/>
        </w:rPr>
        <w:t xml:space="preserve"> ставк</w:t>
      </w:r>
      <w:r>
        <w:rPr>
          <w:rFonts w:ascii="Times New Roman" w:hAnsi="Times New Roman"/>
          <w:sz w:val="28"/>
          <w:szCs w:val="28"/>
        </w:rPr>
        <w:t>а</w:t>
      </w:r>
      <w:r w:rsidRPr="00197214">
        <w:rPr>
          <w:rFonts w:ascii="Times New Roman" w:hAnsi="Times New Roman"/>
          <w:sz w:val="28"/>
          <w:szCs w:val="28"/>
        </w:rPr>
        <w:t xml:space="preserve"> арендной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214">
        <w:rPr>
          <w:rFonts w:ascii="Times New Roman" w:hAnsi="Times New Roman"/>
          <w:sz w:val="28"/>
          <w:szCs w:val="28"/>
        </w:rPr>
        <w:t>за нежилые помещения муниципальн</w:t>
      </w:r>
      <w:r>
        <w:rPr>
          <w:rFonts w:ascii="Times New Roman" w:hAnsi="Times New Roman"/>
          <w:sz w:val="28"/>
          <w:szCs w:val="28"/>
        </w:rPr>
        <w:t xml:space="preserve">ой собственности </w:t>
      </w:r>
      <w:r w:rsidRPr="0019721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1972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4"/>
        </w:rPr>
        <w:t xml:space="preserve"> утверждена </w:t>
      </w:r>
      <w:r w:rsidR="00C54F88">
        <w:rPr>
          <w:rFonts w:ascii="Times New Roman" w:hAnsi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/>
          <w:color w:val="000000"/>
          <w:sz w:val="28"/>
          <w:szCs w:val="24"/>
        </w:rPr>
        <w:t>м</w:t>
      </w:r>
      <w:r w:rsidR="00C54F88">
        <w:rPr>
          <w:rFonts w:ascii="Times New Roman" w:hAnsi="Times New Roman"/>
          <w:color w:val="000000"/>
          <w:sz w:val="28"/>
          <w:szCs w:val="24"/>
        </w:rPr>
        <w:t xml:space="preserve"> Собрания депутатов </w:t>
      </w:r>
      <w:bookmarkStart w:id="2" w:name="_Hlk154581336"/>
      <w:r w:rsidR="00C54F88">
        <w:rPr>
          <w:rFonts w:ascii="Times New Roman" w:hAnsi="Times New Roman"/>
          <w:color w:val="000000"/>
          <w:sz w:val="28"/>
          <w:szCs w:val="24"/>
        </w:rPr>
        <w:t>Златоустовского городского округа №46-ЗГО от 01.11.2023</w:t>
      </w:r>
      <w:r>
        <w:rPr>
          <w:rFonts w:ascii="Times New Roman" w:hAnsi="Times New Roman"/>
          <w:color w:val="000000"/>
          <w:sz w:val="28"/>
          <w:szCs w:val="24"/>
        </w:rPr>
        <w:t xml:space="preserve"> г.</w:t>
      </w:r>
    </w:p>
    <w:bookmarkEnd w:id="2"/>
    <w:p w14:paraId="36BB5611" w14:textId="77777777" w:rsidR="00FF1954" w:rsidRDefault="00FF1954" w:rsidP="00FF195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24E94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E498" w14:textId="77777777" w:rsidR="002D6761" w:rsidRDefault="002D6761" w:rsidP="00656602">
      <w:pPr>
        <w:spacing w:after="0" w:line="240" w:lineRule="auto"/>
      </w:pPr>
      <w:r>
        <w:separator/>
      </w:r>
    </w:p>
  </w:endnote>
  <w:endnote w:type="continuationSeparator" w:id="0">
    <w:p w14:paraId="091ABEBA" w14:textId="77777777" w:rsidR="002D6761" w:rsidRDefault="002D6761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4FCC" w14:textId="77777777" w:rsidR="002D6761" w:rsidRDefault="002D6761" w:rsidP="00656602">
      <w:pPr>
        <w:spacing w:after="0" w:line="240" w:lineRule="auto"/>
      </w:pPr>
      <w:r>
        <w:separator/>
      </w:r>
    </w:p>
  </w:footnote>
  <w:footnote w:type="continuationSeparator" w:id="0">
    <w:p w14:paraId="5DD9125F" w14:textId="77777777" w:rsidR="002D6761" w:rsidRDefault="002D6761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01AF7BD0" w14:textId="16C92BF1" w:rsidR="00C11E50" w:rsidRPr="00C11E50" w:rsidRDefault="00C11E50" w:rsidP="00C11E50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C11E50">
        <w:rPr>
          <w:rFonts w:ascii="Times New Roman" w:hAnsi="Times New Roman"/>
        </w:rPr>
        <w:t>Решение Собрания депутатов Златоустовского городского округа от 23</w:t>
      </w:r>
      <w:r>
        <w:rPr>
          <w:rFonts w:ascii="Times New Roman" w:hAnsi="Times New Roman"/>
        </w:rPr>
        <w:t>.12.</w:t>
      </w:r>
      <w:r w:rsidRPr="00C11E50">
        <w:rPr>
          <w:rFonts w:ascii="Times New Roman" w:hAnsi="Times New Roman"/>
        </w:rPr>
        <w:t>2008 г. №131-ЗГО «Об утверждении положения о передаче в аренду объектов муниципального имущества Златоустовского городского округа</w:t>
      </w:r>
      <w:r>
        <w:rPr>
          <w:rFonts w:ascii="Times New Roman" w:hAnsi="Times New Roman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7262614">
    <w:abstractNumId w:val="1"/>
  </w:num>
  <w:num w:numId="2" w16cid:durableId="780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07C41"/>
    <w:rsid w:val="000144F7"/>
    <w:rsid w:val="000151C5"/>
    <w:rsid w:val="0002403E"/>
    <w:rsid w:val="00024E94"/>
    <w:rsid w:val="00034CC8"/>
    <w:rsid w:val="00036028"/>
    <w:rsid w:val="000508D6"/>
    <w:rsid w:val="000872A3"/>
    <w:rsid w:val="00087586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D6761"/>
    <w:rsid w:val="002E1375"/>
    <w:rsid w:val="002E215D"/>
    <w:rsid w:val="003026F5"/>
    <w:rsid w:val="00343461"/>
    <w:rsid w:val="00352786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1063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35457"/>
    <w:rsid w:val="00746DB3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7F3343"/>
    <w:rsid w:val="00801162"/>
    <w:rsid w:val="0080173B"/>
    <w:rsid w:val="00801B1D"/>
    <w:rsid w:val="008063F6"/>
    <w:rsid w:val="00815661"/>
    <w:rsid w:val="00832B32"/>
    <w:rsid w:val="0084255F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915A5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F084E"/>
    <w:rsid w:val="00B0271B"/>
    <w:rsid w:val="00B0557B"/>
    <w:rsid w:val="00B11C85"/>
    <w:rsid w:val="00B33776"/>
    <w:rsid w:val="00B35683"/>
    <w:rsid w:val="00B879A7"/>
    <w:rsid w:val="00BA2589"/>
    <w:rsid w:val="00BA3399"/>
    <w:rsid w:val="00BB4042"/>
    <w:rsid w:val="00BB6247"/>
    <w:rsid w:val="00BC3C29"/>
    <w:rsid w:val="00BF114D"/>
    <w:rsid w:val="00BF1A05"/>
    <w:rsid w:val="00C11E50"/>
    <w:rsid w:val="00C122C6"/>
    <w:rsid w:val="00C12AD2"/>
    <w:rsid w:val="00C54F88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5430"/>
    <w:rsid w:val="00CE7B7A"/>
    <w:rsid w:val="00CF1BD1"/>
    <w:rsid w:val="00D039EB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415C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15A08"/>
    <w:rsid w:val="00F26675"/>
    <w:rsid w:val="00F267F9"/>
    <w:rsid w:val="00F34FF5"/>
    <w:rsid w:val="00F42352"/>
    <w:rsid w:val="00F446FA"/>
    <w:rsid w:val="00FA1F6B"/>
    <w:rsid w:val="00FA55B7"/>
    <w:rsid w:val="00FB1974"/>
    <w:rsid w:val="00FC0E61"/>
    <w:rsid w:val="00FC2B37"/>
    <w:rsid w:val="00FC2FB0"/>
    <w:rsid w:val="00FC60DF"/>
    <w:rsid w:val="00FD3CB5"/>
    <w:rsid w:val="00FE0481"/>
    <w:rsid w:val="00FF195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01DAB265-ADAE-4524-A7BB-1B0488A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F8BD-F5CA-47B2-AE66-5A4936DF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2023-06-30T12:59:00Z</cp:lastPrinted>
  <dcterms:created xsi:type="dcterms:W3CDTF">2023-04-17T12:22:00Z</dcterms:created>
  <dcterms:modified xsi:type="dcterms:W3CDTF">2023-12-27T10:00:00Z</dcterms:modified>
</cp:coreProperties>
</file>